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E76" w:rsidRDefault="00F33E7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33E76" w:rsidRDefault="00F33E76">
      <w:pPr>
        <w:pStyle w:val="ConsPlusNormal"/>
        <w:jc w:val="both"/>
        <w:outlineLvl w:val="0"/>
      </w:pPr>
    </w:p>
    <w:p w:rsidR="00F33E76" w:rsidRDefault="00F33E7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33E76" w:rsidRDefault="00F33E76">
      <w:pPr>
        <w:pStyle w:val="ConsPlusTitle"/>
        <w:jc w:val="center"/>
      </w:pPr>
    </w:p>
    <w:p w:rsidR="00F33E76" w:rsidRDefault="00F33E76">
      <w:pPr>
        <w:pStyle w:val="ConsPlusTitle"/>
        <w:jc w:val="center"/>
      </w:pPr>
      <w:r>
        <w:t>ПОСТАНОВЛЕНИЕ</w:t>
      </w:r>
    </w:p>
    <w:p w:rsidR="00F33E76" w:rsidRDefault="00F33E76">
      <w:pPr>
        <w:pStyle w:val="ConsPlusTitle"/>
        <w:jc w:val="center"/>
      </w:pPr>
      <w:r>
        <w:t>от 3 июня 2016 г. N 505</w:t>
      </w:r>
    </w:p>
    <w:p w:rsidR="00F33E76" w:rsidRDefault="00F33E76">
      <w:pPr>
        <w:pStyle w:val="ConsPlusTitle"/>
        <w:jc w:val="center"/>
      </w:pPr>
    </w:p>
    <w:p w:rsidR="00F33E76" w:rsidRDefault="00F33E76">
      <w:pPr>
        <w:pStyle w:val="ConsPlusTitle"/>
        <w:jc w:val="center"/>
      </w:pPr>
      <w:r>
        <w:t>ОБ УТВЕРЖДЕНИИ ПРАВИЛ</w:t>
      </w:r>
    </w:p>
    <w:p w:rsidR="00F33E76" w:rsidRDefault="00F33E76">
      <w:pPr>
        <w:pStyle w:val="ConsPlusTitle"/>
        <w:jc w:val="center"/>
      </w:pPr>
      <w:r>
        <w:t>КОММЕРЧЕСКОГО УЧЕТА ОБЪЕМА И (ИЛИ) МАССЫ ТВЕРДЫХ</w:t>
      </w:r>
    </w:p>
    <w:p w:rsidR="00F33E76" w:rsidRDefault="00F33E76">
      <w:pPr>
        <w:pStyle w:val="ConsPlusTitle"/>
        <w:jc w:val="center"/>
      </w:pPr>
      <w:r>
        <w:t>КОММУНАЛЬНЫХ ОТХОДОВ</w:t>
      </w:r>
    </w:p>
    <w:p w:rsidR="00F33E76" w:rsidRDefault="00F33E7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33E7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3E76" w:rsidRDefault="00F33E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3E76" w:rsidRDefault="00F33E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27.02.2017 N 232)</w:t>
            </w:r>
          </w:p>
        </w:tc>
      </w:tr>
    </w:tbl>
    <w:p w:rsidR="00F33E76" w:rsidRDefault="00F33E76">
      <w:pPr>
        <w:pStyle w:val="ConsPlusNormal"/>
        <w:jc w:val="center"/>
      </w:pPr>
    </w:p>
    <w:p w:rsidR="00F33E76" w:rsidRDefault="00F33E76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5</w:t>
        </w:r>
      </w:hyperlink>
      <w:r>
        <w:t xml:space="preserve"> Федерального закона "Об отходах производства и потребления" Правительство Российской Федерации постановляет:</w:t>
      </w:r>
    </w:p>
    <w:p w:rsidR="00F33E76" w:rsidRDefault="00F33E76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1</w:t>
        </w:r>
      </w:hyperlink>
      <w:r>
        <w:t xml:space="preserve">. Утвердить прилагаемые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коммерческого учета объема и (или) массы твердых коммунальных отходов.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2. Настоящее постановление применяется к деятельности операторов по обращению с твердыми коммунальными отходами со дня начала осуществления региональным оператором деятельности по обращению с твердыми коммунальными отходами в соответствии с соглашением об организации деятельности по обращению с твердыми коммунальными отходами, заключаемым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отходами.</w:t>
      </w:r>
    </w:p>
    <w:p w:rsidR="00F33E76" w:rsidRDefault="00F33E76">
      <w:pPr>
        <w:pStyle w:val="ConsPlusNormal"/>
        <w:jc w:val="both"/>
      </w:pPr>
      <w:r>
        <w:t xml:space="preserve">(п. 2 введен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27.02.2017 N 232)</w:t>
      </w:r>
    </w:p>
    <w:p w:rsidR="00F33E76" w:rsidRDefault="00F33E76">
      <w:pPr>
        <w:pStyle w:val="ConsPlusNormal"/>
        <w:jc w:val="both"/>
      </w:pPr>
    </w:p>
    <w:p w:rsidR="00F33E76" w:rsidRDefault="00F33E76">
      <w:pPr>
        <w:pStyle w:val="ConsPlusNormal"/>
        <w:jc w:val="right"/>
      </w:pPr>
      <w:r>
        <w:t>Председатель Правительства</w:t>
      </w:r>
    </w:p>
    <w:p w:rsidR="00F33E76" w:rsidRDefault="00F33E76">
      <w:pPr>
        <w:pStyle w:val="ConsPlusNormal"/>
        <w:jc w:val="right"/>
      </w:pPr>
      <w:r>
        <w:t>Российской Федерации</w:t>
      </w:r>
    </w:p>
    <w:p w:rsidR="00F33E76" w:rsidRDefault="00F33E76">
      <w:pPr>
        <w:pStyle w:val="ConsPlusNormal"/>
        <w:jc w:val="right"/>
      </w:pPr>
      <w:r>
        <w:t>Д.МЕДВЕДЕВ</w:t>
      </w:r>
    </w:p>
    <w:p w:rsidR="00F33E76" w:rsidRDefault="00F33E76">
      <w:pPr>
        <w:pStyle w:val="ConsPlusNormal"/>
        <w:jc w:val="both"/>
      </w:pPr>
    </w:p>
    <w:p w:rsidR="00F33E76" w:rsidRDefault="00F33E76">
      <w:pPr>
        <w:pStyle w:val="ConsPlusNormal"/>
        <w:jc w:val="both"/>
      </w:pPr>
    </w:p>
    <w:p w:rsidR="00F33E76" w:rsidRDefault="00F33E76">
      <w:pPr>
        <w:pStyle w:val="ConsPlusNormal"/>
        <w:jc w:val="both"/>
      </w:pPr>
    </w:p>
    <w:p w:rsidR="00F33E76" w:rsidRDefault="00F33E76">
      <w:pPr>
        <w:pStyle w:val="ConsPlusNormal"/>
        <w:jc w:val="both"/>
      </w:pPr>
    </w:p>
    <w:p w:rsidR="00F33E76" w:rsidRDefault="00F33E76">
      <w:pPr>
        <w:pStyle w:val="ConsPlusNormal"/>
        <w:jc w:val="both"/>
      </w:pPr>
    </w:p>
    <w:p w:rsidR="00F33E76" w:rsidRDefault="00F33E76">
      <w:pPr>
        <w:pStyle w:val="ConsPlusNormal"/>
        <w:jc w:val="right"/>
        <w:outlineLvl w:val="0"/>
      </w:pPr>
      <w:r>
        <w:t>Утверждены</w:t>
      </w:r>
    </w:p>
    <w:p w:rsidR="00F33E76" w:rsidRDefault="00F33E76">
      <w:pPr>
        <w:pStyle w:val="ConsPlusNormal"/>
        <w:jc w:val="right"/>
      </w:pPr>
      <w:r>
        <w:t>постановлением Правительства</w:t>
      </w:r>
    </w:p>
    <w:p w:rsidR="00F33E76" w:rsidRDefault="00F33E76">
      <w:pPr>
        <w:pStyle w:val="ConsPlusNormal"/>
        <w:jc w:val="right"/>
      </w:pPr>
      <w:r>
        <w:t>Российской Федерации</w:t>
      </w:r>
    </w:p>
    <w:p w:rsidR="00F33E76" w:rsidRDefault="00F33E76">
      <w:pPr>
        <w:pStyle w:val="ConsPlusNormal"/>
        <w:jc w:val="right"/>
      </w:pPr>
      <w:r>
        <w:t>от 3 июня 2016 г. N 505</w:t>
      </w:r>
    </w:p>
    <w:p w:rsidR="00F33E76" w:rsidRDefault="00F33E76">
      <w:pPr>
        <w:pStyle w:val="ConsPlusNormal"/>
        <w:jc w:val="both"/>
      </w:pPr>
    </w:p>
    <w:p w:rsidR="00F33E76" w:rsidRDefault="00F33E76">
      <w:pPr>
        <w:pStyle w:val="ConsPlusTitle"/>
        <w:jc w:val="center"/>
      </w:pPr>
      <w:bookmarkStart w:id="0" w:name="P30"/>
      <w:bookmarkEnd w:id="0"/>
      <w:r>
        <w:t>ПРАВИЛА</w:t>
      </w:r>
    </w:p>
    <w:p w:rsidR="00F33E76" w:rsidRDefault="00F33E76">
      <w:pPr>
        <w:pStyle w:val="ConsPlusTitle"/>
        <w:jc w:val="center"/>
      </w:pPr>
      <w:r>
        <w:t>КОММЕРЧЕСКОГО УЧЕТА ОБЪЕМА И (ИЛИ) МАССЫ ТВЕРДЫХ</w:t>
      </w:r>
    </w:p>
    <w:p w:rsidR="00F33E76" w:rsidRDefault="00F33E76">
      <w:pPr>
        <w:pStyle w:val="ConsPlusTitle"/>
        <w:jc w:val="center"/>
      </w:pPr>
      <w:r>
        <w:t>КОММУНАЛЬНЫХ ОТХОДОВ</w:t>
      </w:r>
    </w:p>
    <w:p w:rsidR="00F33E76" w:rsidRDefault="00F33E76">
      <w:pPr>
        <w:pStyle w:val="ConsPlusNormal"/>
        <w:jc w:val="both"/>
      </w:pPr>
    </w:p>
    <w:p w:rsidR="00F33E76" w:rsidRDefault="00F33E76">
      <w:pPr>
        <w:pStyle w:val="ConsPlusNormal"/>
        <w:jc w:val="center"/>
        <w:outlineLvl w:val="1"/>
      </w:pPr>
      <w:r>
        <w:t>I. Общие положения</w:t>
      </w:r>
    </w:p>
    <w:p w:rsidR="00F33E76" w:rsidRDefault="00F33E76">
      <w:pPr>
        <w:pStyle w:val="ConsPlusNormal"/>
        <w:jc w:val="both"/>
      </w:pPr>
    </w:p>
    <w:p w:rsidR="00F33E76" w:rsidRDefault="00F33E76">
      <w:pPr>
        <w:pStyle w:val="ConsPlusNormal"/>
        <w:ind w:firstLine="540"/>
        <w:jc w:val="both"/>
      </w:pPr>
      <w:r>
        <w:t>1. Настоящие Правила устанавливают порядок коммерческого учета объема и (или) массы твердых коммунальных отходов с использованием средств измерения, соответствующих требованиям законодательства Российской Федерации об обеспечении единства измерений (далее - средства измерения), или расчетным способом в целях осуществления расчетов по договорам в области обращения с твердыми коммунальными отходами.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lastRenderedPageBreak/>
        <w:t>2. Коммерческому учету подлежат объем и (или) масса: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а) твердых коммунальных отходов в местах их накопления: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сортированных твердых коммунальных отходов;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несортированных твердых коммунальных отходов;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крупногабаритных отходов;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б) твердых коммунальных отходов, собираемых и транспортируемых операторами по обращению с твердыми коммунальными отходами;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в) твердых коммунальных отходов, поступающих на объекты, используемые для обработки, обезвреживания и (или) захоронения твердых коммунальных отходов (далее - объекты), и транспортируемых с таких объектов.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3. Региональный оператор по обращению с твердыми коммунальными отходами представляет в орган исполнительной власти субъекта Российской Федерации, с которым он заключил соглашение, касающееся организации деятельности по обращению с твердыми коммунальными отходами, сведения об объеме и (или) о массе накопленных твердых коммунальных отходов, а также твердых коммунальных отходов, в отношении которых были осуществлены сбор, транспортирование, обработка, утилизация, обезвреживание и (или) захоронение, по форме, установленной указанным соглашением, ежемесячно, если иная периодичность представления указанных сведений не предусмотрена данным соглашением.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4. В целях сопоставления объема и массы твердых коммунальных отходов определяется средняя плотность твердых коммунальных отходов, рассчитываемая как отношение установленного годового норматива накопления в объемных показателях к годовому нормативу накопления по массе (далее - средняя плотность твердых коммунальных отходов).</w:t>
      </w:r>
    </w:p>
    <w:p w:rsidR="00F33E76" w:rsidRDefault="00F33E76">
      <w:pPr>
        <w:pStyle w:val="ConsPlusNormal"/>
        <w:jc w:val="both"/>
      </w:pPr>
    </w:p>
    <w:p w:rsidR="00F33E76" w:rsidRDefault="00F33E76">
      <w:pPr>
        <w:pStyle w:val="ConsPlusNormal"/>
        <w:jc w:val="center"/>
        <w:outlineLvl w:val="1"/>
      </w:pPr>
      <w:r>
        <w:t>II. Коммерческий учет объема и (или) массы твердых</w:t>
      </w:r>
    </w:p>
    <w:p w:rsidR="00F33E76" w:rsidRDefault="00F33E76">
      <w:pPr>
        <w:pStyle w:val="ConsPlusNormal"/>
        <w:jc w:val="center"/>
      </w:pPr>
      <w:r>
        <w:t>коммунальных отходов</w:t>
      </w:r>
    </w:p>
    <w:p w:rsidR="00F33E76" w:rsidRDefault="00F33E76">
      <w:pPr>
        <w:pStyle w:val="ConsPlusNormal"/>
        <w:jc w:val="both"/>
      </w:pPr>
    </w:p>
    <w:p w:rsidR="00F33E76" w:rsidRDefault="00F33E76">
      <w:pPr>
        <w:pStyle w:val="ConsPlusNormal"/>
        <w:ind w:firstLine="540"/>
        <w:jc w:val="both"/>
      </w:pPr>
      <w:r>
        <w:t>5. Коммерческий учет твердых коммунальных отходов осуществляется:</w:t>
      </w:r>
    </w:p>
    <w:p w:rsidR="00F33E76" w:rsidRDefault="00F33E76">
      <w:pPr>
        <w:pStyle w:val="ConsPlusNormal"/>
        <w:spacing w:before="220"/>
        <w:ind w:firstLine="540"/>
        <w:jc w:val="both"/>
      </w:pPr>
      <w:bookmarkStart w:id="1" w:name="P51"/>
      <w:bookmarkEnd w:id="1"/>
      <w:r>
        <w:t>а) расчетным путем исходя из: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нормативов накопления твердых коммунальных отходов, выраженных в количественных показателях объема;</w:t>
      </w:r>
    </w:p>
    <w:p w:rsidR="00F33E76" w:rsidRDefault="00F33E76">
      <w:pPr>
        <w:pStyle w:val="ConsPlusNormal"/>
        <w:spacing w:before="220"/>
        <w:ind w:firstLine="540"/>
        <w:jc w:val="both"/>
      </w:pPr>
      <w:bookmarkStart w:id="2" w:name="P53"/>
      <w:bookmarkEnd w:id="2"/>
      <w:r>
        <w:t>количества и объема контейнеров для накопления твердых коммунальных отходов, установленных в местах накопления;</w:t>
      </w:r>
    </w:p>
    <w:p w:rsidR="00F33E76" w:rsidRDefault="00F33E76">
      <w:pPr>
        <w:pStyle w:val="ConsPlusNormal"/>
        <w:spacing w:before="220"/>
        <w:ind w:firstLine="540"/>
        <w:jc w:val="both"/>
      </w:pPr>
      <w:bookmarkStart w:id="3" w:name="P54"/>
      <w:bookmarkEnd w:id="3"/>
      <w:r>
        <w:t>б) исходя из массы твердых коммунальных отходов, определенной с использованием средств измерения.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 xml:space="preserve">6. В целях осуществления расчетов с собственниками твердых коммунальных отходов коммерческий учет твердых коммунальных отходов осуществляется в соответствии с </w:t>
      </w:r>
      <w:hyperlink w:anchor="P51" w:history="1">
        <w:r>
          <w:rPr>
            <w:color w:val="0000FF"/>
          </w:rPr>
          <w:t>подпунктом "а" пункта 5</w:t>
        </w:r>
      </w:hyperlink>
      <w:r>
        <w:t xml:space="preserve"> настоящих Правил.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 xml:space="preserve">7. В целях осуществления расчетов с операторами по обращению с твердыми коммунальными отходами, осуществляющими деятельность по сбору и транспортированию твердых коммунальных отходов, коммерческий учет твердых коммунальных отходов осуществляется в соответствии с </w:t>
      </w:r>
      <w:hyperlink w:anchor="P53" w:history="1">
        <w:r>
          <w:rPr>
            <w:color w:val="0000FF"/>
          </w:rPr>
          <w:t>абзацем третьим подпункта "а" пункта 5</w:t>
        </w:r>
      </w:hyperlink>
      <w:r>
        <w:t xml:space="preserve"> настоящих Правил.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lastRenderedPageBreak/>
        <w:t xml:space="preserve">8. При раздельном накоплении и сборе сортированных твердых коммунальных отходов, несортированных твердых коммунальных отходов, крупногабаритных отходов в целях осуществления расчетов по договорам в области обращения с твердыми коммунальными отходами коммерческий учет твердых коммунальных отходов осуществляется в соответствии с </w:t>
      </w:r>
      <w:hyperlink w:anchor="P53" w:history="1">
        <w:r>
          <w:rPr>
            <w:color w:val="0000FF"/>
          </w:rPr>
          <w:t>абзацем третьим подпункта "а" пункта 5</w:t>
        </w:r>
      </w:hyperlink>
      <w:r>
        <w:t xml:space="preserve"> настоящих Правил.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 xml:space="preserve">9. В целях осуществления расчетов с операторами по обращению с твердыми коммунальными отходами, владеющими на праве собственности или на ином законном основании объектами (далее - владельцы объектов), коммерческий учет твердых коммунальных отходов осуществляется в соответствии с </w:t>
      </w:r>
      <w:hyperlink w:anchor="P54" w:history="1">
        <w:r>
          <w:rPr>
            <w:color w:val="0000FF"/>
          </w:rPr>
          <w:t>подпунктом "б" пункта 5</w:t>
        </w:r>
      </w:hyperlink>
      <w:r>
        <w:t xml:space="preserve"> настоящих Правил.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10. Владельцы объектов обязаны в течение 1 года со дня вступления в силу настоящих Правил оборудовать принадлежащие им объекты средствами измерения массы твердых коммунальных отходов.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11. В случае если объект не оборудован средством измерения или средство измерения вышло из строя (неисправно), коммерческий учет массы твердых коммунальных отходов осуществляется исходя из средней плотности твердых коммунальных отходов и объема твердых коммунальных отходов, определяемого: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а) в течение 30 дней после установления факта выхода средства измерения из строя (неисправности) - исходя из установленной вместимости кузова транспортного средства с учетом коэффициента максимально допустимого сжатия отходов (при наличии такого коэффициента) в соответствии с технической документацией на транспортное средство;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б) по истечении 30 дней после установления факта выхода средства измерения из строя (неисправности) или при отсутствии средства измерения - исходя из уменьшенной вдвое установленной вместимости кузова транспортного средства с учетом коэффициента максимально допустимого сжатия отходов (при наличии такого коэффициента) в соответствии с технической документацией на транспортное средство.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12. Средство измерения считается вышедшим из строя (неисправным) в случае: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а) неотображения средством измерения результатов измерения;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б) наличия признаков несанкционированного вмешательства в работу средства измерения;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в) нарушения контрольных пломб или знаков поверки, нанесенных на средство измерения;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г) механического повреждения средства измерения;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д) превышения допустимой погрешности показаний средства измерения, установленной в технической документации на средство измерения;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е) истечения межповерочного интервала поверки средства измерения.</w:t>
      </w:r>
    </w:p>
    <w:p w:rsidR="00F33E76" w:rsidRDefault="00F33E76">
      <w:pPr>
        <w:pStyle w:val="ConsPlusNormal"/>
        <w:jc w:val="both"/>
      </w:pPr>
    </w:p>
    <w:p w:rsidR="00F33E76" w:rsidRDefault="00F33E76">
      <w:pPr>
        <w:pStyle w:val="ConsPlusNormal"/>
        <w:jc w:val="center"/>
        <w:outlineLvl w:val="1"/>
      </w:pPr>
      <w:r>
        <w:t>III. Допуск средства измерения к эксплуатации</w:t>
      </w:r>
    </w:p>
    <w:p w:rsidR="00F33E76" w:rsidRDefault="00F33E76">
      <w:pPr>
        <w:pStyle w:val="ConsPlusNormal"/>
        <w:jc w:val="both"/>
      </w:pPr>
    </w:p>
    <w:p w:rsidR="00F33E76" w:rsidRDefault="00F33E76">
      <w:pPr>
        <w:pStyle w:val="ConsPlusNormal"/>
        <w:ind w:firstLine="540"/>
        <w:jc w:val="both"/>
      </w:pPr>
      <w:r>
        <w:t>13. Для допуска к эксплуатации средства измерения, установленного на объекте, владельцем объекта формируется комиссия по допуску средства измерения к эксплуатации (далее - комиссия) в следующем составе: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а) представитель владельца объекта;</w:t>
      </w:r>
    </w:p>
    <w:p w:rsidR="00F33E76" w:rsidRDefault="00F33E76">
      <w:pPr>
        <w:pStyle w:val="ConsPlusNormal"/>
        <w:spacing w:before="220"/>
        <w:ind w:firstLine="540"/>
        <w:jc w:val="both"/>
      </w:pPr>
      <w:bookmarkStart w:id="4" w:name="P75"/>
      <w:bookmarkEnd w:id="4"/>
      <w:r>
        <w:t>б) представитель регионального оператора по обращению с твердыми коммунальными отходами;</w:t>
      </w:r>
    </w:p>
    <w:p w:rsidR="00F33E76" w:rsidRDefault="00F33E76">
      <w:pPr>
        <w:pStyle w:val="ConsPlusNormal"/>
        <w:spacing w:before="220"/>
        <w:ind w:firstLine="540"/>
        <w:jc w:val="both"/>
      </w:pPr>
      <w:bookmarkStart w:id="5" w:name="P76"/>
      <w:bookmarkEnd w:id="5"/>
      <w:r>
        <w:lastRenderedPageBreak/>
        <w:t>в) представитель организации, осуществляющей монтаж и наладку сдаваемого в эксплуатацию средства измерения.</w:t>
      </w:r>
    </w:p>
    <w:p w:rsidR="00F33E76" w:rsidRDefault="00F33E76">
      <w:pPr>
        <w:pStyle w:val="ConsPlusNormal"/>
        <w:spacing w:before="220"/>
        <w:ind w:firstLine="540"/>
        <w:jc w:val="both"/>
      </w:pPr>
      <w:bookmarkStart w:id="6" w:name="P77"/>
      <w:bookmarkEnd w:id="6"/>
      <w:r>
        <w:t xml:space="preserve">14. Извещение представителей, указанных в </w:t>
      </w:r>
      <w:hyperlink w:anchor="P75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76" w:history="1">
        <w:r>
          <w:rPr>
            <w:color w:val="0000FF"/>
          </w:rPr>
          <w:t>"в" пункта 13</w:t>
        </w:r>
      </w:hyperlink>
      <w:r>
        <w:t xml:space="preserve"> настоящих Правил, о проведении мероприятий по допуску средства измерения к эксплуатации осуществляет владелец объекта не позднее чем за 10 рабочих дней до дня допуска средства измерения к эксплуатации путем направления членам комиссии письменных уведомлений.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 xml:space="preserve">15. Уведомление, указанное в </w:t>
      </w:r>
      <w:hyperlink w:anchor="P77" w:history="1">
        <w:r>
          <w:rPr>
            <w:color w:val="0000FF"/>
          </w:rPr>
          <w:t>пункте 14</w:t>
        </w:r>
      </w:hyperlink>
      <w:r>
        <w:t xml:space="preserve"> настоящих Правил, должно содержать: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а) реквизиты владельца объекта (для юридических лиц - полное наименование, основной государственный регистрационный номер записи в Едином государственном реестре юридических лиц и дата ее внесения в реестр, местонахождение юридического лица, индивидуальный номер налогоплательщика, для индивидуальных предпринимателей - основной государственный номер записи в Едином государственном реестре индивидуальных предпринимателей и дата ее внесения в реестр, адрес регистрации по месту жительства, индивидуальный номер налогоплательщика, для физических лиц - фамилия, имя, отчество (при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жительства), контактные данные, включая почтовый адрес и номер телефона, лица, направившего уведомление;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б) дата, время и место проведения мероприятий по допуску средства измерения к эксплуатации.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16. К уведомлению прилагаются: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а) заверенная владельцем объекта копия проектной документации на установку средства измерения;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б) заверенная владельцем объекта копия паспорта (формуляра) на средство измерения;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в) заверенные владельцем объекта копии документов, подтверждающих прохождение последней поверки средства измерения (за исключением новых средств измерения);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г) документы, подтверждающие право лица подписывать уведомления и (или) направлять уведомления от имени владельца объекта.</w:t>
      </w:r>
    </w:p>
    <w:p w:rsidR="00F33E76" w:rsidRDefault="00F33E76">
      <w:pPr>
        <w:pStyle w:val="ConsPlusNormal"/>
        <w:spacing w:before="220"/>
        <w:ind w:firstLine="540"/>
        <w:jc w:val="both"/>
      </w:pPr>
      <w:bookmarkStart w:id="7" w:name="P86"/>
      <w:bookmarkEnd w:id="7"/>
      <w:r>
        <w:t>17. При проведении мероприятий по допуску средства измерения к эксплуатации проверяются: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а) соответствие заводских номеров, нанесенных на средство измерения, номерам, указанным в его паспорте (формуляре);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б) соответствие схемы установки средства измерения представленной проектной документации;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в) наличие знаков последней поверки (за исключением новых средств измерения);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г) работоспособность средства измерения;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д) работоспособность телеметрических устройств (при их наличии).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18. По результатам проведения мероприятий по допуску средства измерения к эксплуатации составляется акт о допуске средства измерения к эксплуатации, в котором указываются: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а) дата и время проведения мероприятий по допуску средства измерения к эксплуатации, местонахождение объекта и расположение средства измерения;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lastRenderedPageBreak/>
        <w:t>б) фамилии, имена, отчества (при наличии), должности и контактные данные лиц, принимавших участие в проведении мероприятий по допуску средства измерения к эксплуатации;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в) результаты проведения мероприятий по допуску средства измерения к эксплуатации;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г) решение о допуске средства измерения к эксплуатации или об отказе в таком допуске с перечнем выявленных недостатков и указанием пунктов настоящих Правил, положения которых нарушены.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19. Акт о допуске средства измерения к эксплуатации составляется и подписывается всеми членами комиссии в течение 5 рабочих дней со дня проведения мероприятий по допуску средства измерения к эксплуатации.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>20. Средство измерения считается пригодным для измерения массы твердых коммунальных отходов в целях коммерческого учета твердых коммунальных отходов с даты подписания акта о допуске средства измерения к эксплуатации.</w:t>
      </w:r>
    </w:p>
    <w:p w:rsidR="00F33E76" w:rsidRDefault="00F33E76">
      <w:pPr>
        <w:pStyle w:val="ConsPlusNormal"/>
        <w:spacing w:before="220"/>
        <w:ind w:firstLine="540"/>
        <w:jc w:val="both"/>
      </w:pPr>
      <w:r>
        <w:t xml:space="preserve">21. В случае выявления несоответствия средства измерения требованиям, установленным </w:t>
      </w:r>
      <w:hyperlink w:anchor="P86" w:history="1">
        <w:r>
          <w:rPr>
            <w:color w:val="0000FF"/>
          </w:rPr>
          <w:t>пунктом 17</w:t>
        </w:r>
      </w:hyperlink>
      <w:r>
        <w:t xml:space="preserve"> настоящих Правил, средство измерения не допускается к эксплуатации.</w:t>
      </w:r>
    </w:p>
    <w:p w:rsidR="00F33E76" w:rsidRDefault="00F33E76">
      <w:pPr>
        <w:pStyle w:val="ConsPlusNormal"/>
        <w:jc w:val="both"/>
      </w:pPr>
    </w:p>
    <w:p w:rsidR="00F33E76" w:rsidRDefault="00F33E76">
      <w:pPr>
        <w:pStyle w:val="ConsPlusNormal"/>
        <w:jc w:val="both"/>
      </w:pPr>
    </w:p>
    <w:p w:rsidR="00F33E76" w:rsidRDefault="00F33E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1803" w:rsidRDefault="00961803">
      <w:bookmarkStart w:id="8" w:name="_GoBack"/>
      <w:bookmarkEnd w:id="8"/>
    </w:p>
    <w:sectPr w:rsidR="00961803" w:rsidSect="00D6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76"/>
    <w:rsid w:val="00961803"/>
    <w:rsid w:val="00F3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60D7A-623A-4181-BB6E-C1E966DF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3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3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3E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D4644D1CF8DE85EA3B87E707BA954260F5BEFC83758027CBFFFC58C938AF1ACDE777CADBB478BDv6l5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D4644D1CF8DE85EA3B87E707BA954260F5BEFC83758027CBFFFC58C938AF1ACDE777CADBB478BCv6l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D4644D1CF8DE85EA3B87E707BA954260FCB9F982738027CBFFFC58C938AF1ACDE777C9DBvBl1G" TargetMode="External"/><Relationship Id="rId5" Type="http://schemas.openxmlformats.org/officeDocument/2006/relationships/hyperlink" Target="consultantplus://offline/ref=99D4644D1CF8DE85EA3B87E707BA954260F5BEFC83758027CBFFFC58C938AF1ACDE777CADBB478BCv6lD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Бугаенко Наталья Алексеевна</dc:creator>
  <cp:keywords/>
  <dc:description/>
  <cp:lastModifiedBy>Бугаенко Наталья Алексеевна</cp:lastModifiedBy>
  <cp:revision>1</cp:revision>
  <dcterms:created xsi:type="dcterms:W3CDTF">2018-05-23T06:37:00Z</dcterms:created>
  <dcterms:modified xsi:type="dcterms:W3CDTF">2018-05-23T06:38:00Z</dcterms:modified>
</cp:coreProperties>
</file>